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24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71"/>
        <w:gridCol w:w="7953"/>
      </w:tblGrid>
      <w:tr w:rsidR="008C61B9" w:rsidRPr="00297F32" w:rsidTr="009D34F7">
        <w:trPr>
          <w:trHeight w:val="25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C61B9" w:rsidRPr="00297F32" w:rsidRDefault="008C61B9" w:rsidP="009D34F7">
            <w:pPr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sz w:val="24"/>
              </w:rPr>
              <w:t xml:space="preserve">Position Title 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B9" w:rsidRPr="00297F32" w:rsidRDefault="008C61B9" w:rsidP="009D34F7">
            <w:pPr>
              <w:pStyle w:val="Heading2"/>
              <w:outlineLvl w:val="1"/>
            </w:pPr>
            <w:bookmarkStart w:id="0" w:name="_Toc106712045"/>
            <w:r w:rsidRPr="00297F32">
              <w:t>Director Finance</w:t>
            </w:r>
            <w:bookmarkEnd w:id="0"/>
          </w:p>
        </w:tc>
      </w:tr>
      <w:tr w:rsidR="008C61B9" w:rsidRPr="00297F32" w:rsidTr="009D34F7">
        <w:trPr>
          <w:trHeight w:val="254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C61B9" w:rsidRPr="00297F32" w:rsidRDefault="008C61B9" w:rsidP="009D34F7">
            <w:pPr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sz w:val="24"/>
              </w:rPr>
              <w:t xml:space="preserve">Department 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B9" w:rsidRPr="00297F32" w:rsidRDefault="008C61B9" w:rsidP="009D34F7">
            <w:pPr>
              <w:ind w:left="2"/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sz w:val="24"/>
              </w:rPr>
              <w:t>Finance</w:t>
            </w:r>
          </w:p>
        </w:tc>
      </w:tr>
      <w:tr w:rsidR="008C61B9" w:rsidRPr="00297F32" w:rsidTr="009D34F7">
        <w:trPr>
          <w:trHeight w:val="25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C61B9" w:rsidRPr="00297F32" w:rsidRDefault="008C61B9" w:rsidP="009D34F7">
            <w:pPr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sz w:val="24"/>
              </w:rPr>
              <w:t xml:space="preserve">Reporting To 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B9" w:rsidRPr="00297F32" w:rsidRDefault="008C61B9" w:rsidP="008C61B9">
            <w:pPr>
              <w:ind w:left="2"/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sz w:val="24"/>
              </w:rPr>
              <w:t>Vice President / President</w:t>
            </w:r>
            <w:bookmarkStart w:id="1" w:name="_GoBack"/>
            <w:bookmarkEnd w:id="1"/>
          </w:p>
        </w:tc>
      </w:tr>
    </w:tbl>
    <w:p w:rsidR="008C61B9" w:rsidRPr="00297F32" w:rsidRDefault="008C61B9" w:rsidP="008C61B9">
      <w:pPr>
        <w:rPr>
          <w:rFonts w:ascii="Cambria" w:hAnsi="Cambria" w:cs="Times New Roman"/>
          <w:sz w:val="24"/>
        </w:rPr>
      </w:pPr>
      <w:r w:rsidRPr="00297F32">
        <w:rPr>
          <w:rFonts w:ascii="Cambria" w:hAnsi="Cambria" w:cs="Times New Roman"/>
          <w:sz w:val="24"/>
        </w:rPr>
        <w:t xml:space="preserve"> </w:t>
      </w:r>
    </w:p>
    <w:tbl>
      <w:tblPr>
        <w:tblStyle w:val="TableGrid"/>
        <w:tblW w:w="10024" w:type="dxa"/>
        <w:tblInd w:w="6" w:type="dxa"/>
        <w:tblCellMar>
          <w:top w:w="44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10024"/>
      </w:tblGrid>
      <w:tr w:rsidR="008C61B9" w:rsidRPr="00297F32" w:rsidTr="009D34F7">
        <w:trPr>
          <w:trHeight w:val="252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C61B9" w:rsidRPr="00297F32" w:rsidRDefault="008C61B9" w:rsidP="009D34F7">
            <w:pPr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b/>
                <w:sz w:val="24"/>
              </w:rPr>
              <w:t>POSITION DESCRIPTION</w:t>
            </w:r>
            <w:r w:rsidRPr="00297F32">
              <w:rPr>
                <w:rFonts w:ascii="Cambria" w:hAnsi="Cambria" w:cs="Times New Roman"/>
                <w:b/>
                <w:color w:val="FFFFFF"/>
                <w:sz w:val="24"/>
              </w:rPr>
              <w:t xml:space="preserve"> </w:t>
            </w:r>
          </w:p>
        </w:tc>
      </w:tr>
      <w:tr w:rsidR="008C61B9" w:rsidRPr="00297F32" w:rsidTr="009D34F7">
        <w:trPr>
          <w:trHeight w:val="988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B9" w:rsidRPr="00297F32" w:rsidRDefault="008C61B9" w:rsidP="009D34F7">
            <w:pPr>
              <w:ind w:right="52"/>
              <w:jc w:val="both"/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sz w:val="24"/>
              </w:rPr>
              <w:t>Overseeing all financial activities, financial reporting, training accounting staff, budgeting, disbursing funds to departments, managing risk, implementing policies, and improving financial processes.</w:t>
            </w:r>
          </w:p>
        </w:tc>
      </w:tr>
    </w:tbl>
    <w:p w:rsidR="008C61B9" w:rsidRPr="00297F32" w:rsidRDefault="008C61B9" w:rsidP="008C61B9">
      <w:pPr>
        <w:rPr>
          <w:rFonts w:ascii="Cambria" w:hAnsi="Cambria" w:cs="Times New Roman"/>
          <w:sz w:val="24"/>
        </w:rPr>
      </w:pPr>
    </w:p>
    <w:tbl>
      <w:tblPr>
        <w:tblStyle w:val="TableGrid"/>
        <w:tblW w:w="10024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8471"/>
      </w:tblGrid>
      <w:tr w:rsidR="008C61B9" w:rsidRPr="00297F32" w:rsidTr="009D34F7">
        <w:trPr>
          <w:trHeight w:val="252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C61B9" w:rsidRPr="00297F32" w:rsidRDefault="008C61B9" w:rsidP="009D34F7">
            <w:pPr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b/>
                <w:sz w:val="24"/>
              </w:rPr>
              <w:t xml:space="preserve">REQUIRED JOB SPECIFICATIONS </w:t>
            </w:r>
          </w:p>
        </w:tc>
      </w:tr>
      <w:tr w:rsidR="008C61B9" w:rsidRPr="00297F32" w:rsidTr="009D34F7">
        <w:trPr>
          <w:trHeight w:val="49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C61B9" w:rsidRPr="00297F32" w:rsidRDefault="008C61B9" w:rsidP="009D34F7">
            <w:pPr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sz w:val="24"/>
              </w:rPr>
              <w:t xml:space="preserve">Required Qualification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1B9" w:rsidRPr="00297F32" w:rsidRDefault="008C61B9" w:rsidP="009D34F7">
            <w:pPr>
              <w:ind w:left="2"/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sz w:val="24"/>
              </w:rPr>
              <w:t>First class Master’s degree in Finance/Commerce/Economics from HEC recognized institution Or ACA / ACMA</w:t>
            </w:r>
          </w:p>
        </w:tc>
      </w:tr>
      <w:tr w:rsidR="008C61B9" w:rsidRPr="00297F32" w:rsidTr="009D34F7">
        <w:trPr>
          <w:trHeight w:val="55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C61B9" w:rsidRPr="00297F32" w:rsidRDefault="008C61B9" w:rsidP="009D34F7">
            <w:pPr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sz w:val="24"/>
              </w:rPr>
              <w:t xml:space="preserve">Required Experience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1B9" w:rsidRPr="00297F32" w:rsidRDefault="008C61B9" w:rsidP="009D34F7">
            <w:pPr>
              <w:ind w:left="2"/>
              <w:rPr>
                <w:rFonts w:ascii="Cambria" w:hAnsi="Cambria" w:cs="Times New Roman"/>
                <w:sz w:val="24"/>
              </w:rPr>
            </w:pPr>
            <w:r w:rsidRPr="00297F32">
              <w:rPr>
                <w:rFonts w:ascii="Cambria" w:hAnsi="Cambria" w:cs="Times New Roman"/>
                <w:sz w:val="24"/>
              </w:rPr>
              <w:t>15 years of relevant experience in Accounts/Finance, Audit, Budget &amp; Financial Management. University experience shall be preferred.</w:t>
            </w:r>
          </w:p>
        </w:tc>
      </w:tr>
    </w:tbl>
    <w:p w:rsidR="008C61B9" w:rsidRPr="00297F32" w:rsidRDefault="008C61B9" w:rsidP="008C61B9">
      <w:pPr>
        <w:rPr>
          <w:rFonts w:ascii="Cambria" w:hAnsi="Cambria" w:cs="Times New Roman"/>
          <w:sz w:val="24"/>
        </w:rPr>
      </w:pPr>
    </w:p>
    <w:tbl>
      <w:tblPr>
        <w:tblStyle w:val="TableGrid"/>
        <w:tblW w:w="10024" w:type="dxa"/>
        <w:tblInd w:w="6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3786"/>
        <w:gridCol w:w="4711"/>
      </w:tblGrid>
      <w:tr w:rsidR="008C61B9" w:rsidRPr="00297F32" w:rsidTr="009D34F7">
        <w:trPr>
          <w:trHeight w:val="252"/>
        </w:trPr>
        <w:tc>
          <w:tcPr>
            <w:tcW w:w="10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C61B9" w:rsidRPr="00297F32" w:rsidRDefault="008C61B9" w:rsidP="009D34F7">
            <w:pPr>
              <w:rPr>
                <w:rFonts w:ascii="Cambria" w:hAnsi="Cambria" w:cs="Times New Roman"/>
              </w:rPr>
            </w:pPr>
            <w:r w:rsidRPr="00297F32">
              <w:rPr>
                <w:rFonts w:ascii="Cambria" w:hAnsi="Cambria" w:cs="Times New Roman"/>
                <w:b/>
              </w:rPr>
              <w:t xml:space="preserve">REQUIRED JOB COMPETENCIES (Technical and Soft Skills) </w:t>
            </w:r>
          </w:p>
        </w:tc>
      </w:tr>
      <w:tr w:rsidR="008C61B9" w:rsidRPr="00297F32" w:rsidTr="009D34F7">
        <w:trPr>
          <w:trHeight w:val="2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C61B9" w:rsidRPr="00297F32" w:rsidRDefault="008C61B9" w:rsidP="009D34F7">
            <w:pPr>
              <w:jc w:val="center"/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  <w:b/>
              </w:rPr>
              <w:t>S#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C61B9" w:rsidRPr="00297F32" w:rsidRDefault="008C61B9" w:rsidP="009D34F7">
            <w:pPr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  <w:b/>
              </w:rPr>
              <w:t>Competency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C61B9" w:rsidRPr="00297F32" w:rsidRDefault="008C61B9" w:rsidP="009D34F7">
            <w:pPr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  <w:b/>
              </w:rPr>
              <w:t>Criticality(high/low/medium)</w:t>
            </w:r>
          </w:p>
        </w:tc>
      </w:tr>
      <w:tr w:rsidR="008C61B9" w:rsidRPr="00297F32" w:rsidTr="009D34F7">
        <w:trPr>
          <w:trHeight w:val="2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jc w:val="center"/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>1.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 xml:space="preserve">Organizational Skills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>High</w:t>
            </w:r>
          </w:p>
        </w:tc>
      </w:tr>
      <w:tr w:rsidR="008C61B9" w:rsidRPr="00297F32" w:rsidTr="009D34F7">
        <w:trPr>
          <w:trHeight w:val="2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jc w:val="center"/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>2.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 xml:space="preserve">Communication Skills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>High</w:t>
            </w:r>
          </w:p>
        </w:tc>
      </w:tr>
      <w:tr w:rsidR="008C61B9" w:rsidRPr="00297F32" w:rsidTr="009D34F7">
        <w:trPr>
          <w:trHeight w:val="2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jc w:val="center"/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>3.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 xml:space="preserve">Analytical Skills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>High</w:t>
            </w:r>
          </w:p>
        </w:tc>
      </w:tr>
      <w:tr w:rsidR="008C61B9" w:rsidRPr="00297F32" w:rsidTr="009D34F7">
        <w:trPr>
          <w:trHeight w:val="2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jc w:val="center"/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>4.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 xml:space="preserve">Microsoft Excel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61B9" w:rsidRPr="00297F32" w:rsidRDefault="008C61B9" w:rsidP="009D34F7">
            <w:pPr>
              <w:rPr>
                <w:rFonts w:ascii="Cambria" w:hAnsi="Cambria" w:cs="Times New Roman"/>
                <w:b/>
              </w:rPr>
            </w:pPr>
            <w:r w:rsidRPr="00297F32">
              <w:rPr>
                <w:rFonts w:ascii="Cambria" w:hAnsi="Cambria" w:cs="Times New Roman"/>
              </w:rPr>
              <w:t>High</w:t>
            </w:r>
          </w:p>
        </w:tc>
      </w:tr>
    </w:tbl>
    <w:p w:rsidR="008C61B9" w:rsidRPr="00297F32" w:rsidRDefault="008C61B9" w:rsidP="008C61B9">
      <w:pPr>
        <w:rPr>
          <w:rFonts w:ascii="Cambria" w:hAnsi="Cambria" w:cs="Times New Roman"/>
          <w:sz w:val="24"/>
        </w:rPr>
      </w:pPr>
      <w:r w:rsidRPr="00297F32">
        <w:rPr>
          <w:rFonts w:ascii="Cambria" w:hAnsi="Cambria" w:cs="Times New Roman"/>
          <w:sz w:val="24"/>
        </w:rPr>
        <w:t xml:space="preserve">  </w:t>
      </w:r>
    </w:p>
    <w:tbl>
      <w:tblPr>
        <w:tblStyle w:val="TableGrid"/>
        <w:tblW w:w="10094" w:type="dxa"/>
        <w:tblInd w:w="-137" w:type="dxa"/>
        <w:tblCellMar>
          <w:top w:w="15" w:type="dxa"/>
          <w:right w:w="79" w:type="dxa"/>
        </w:tblCellMar>
        <w:tblLook w:val="04A0" w:firstRow="1" w:lastRow="0" w:firstColumn="1" w:lastColumn="0" w:noHBand="0" w:noVBand="1"/>
      </w:tblPr>
      <w:tblGrid>
        <w:gridCol w:w="7939"/>
        <w:gridCol w:w="2155"/>
      </w:tblGrid>
      <w:tr w:rsidR="008C61B9" w:rsidRPr="00297F32" w:rsidTr="009D34F7">
        <w:trPr>
          <w:trHeight w:val="46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61B9" w:rsidRPr="00297F32" w:rsidRDefault="008C61B9" w:rsidP="009D34F7">
            <w:pPr>
              <w:ind w:right="28"/>
              <w:rPr>
                <w:rFonts w:ascii="Cambria" w:eastAsia="Garamond" w:hAnsi="Cambria" w:cs="Times New Roman"/>
                <w:sz w:val="24"/>
              </w:rPr>
            </w:pPr>
            <w:r w:rsidRPr="00297F32">
              <w:rPr>
                <w:rFonts w:ascii="Cambria" w:eastAsia="Garamond" w:hAnsi="Cambria" w:cs="Times New Roman"/>
                <w:b/>
                <w:sz w:val="24"/>
              </w:rPr>
              <w:t>DUTIES AND RESPONSIBILITIES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61B9" w:rsidRPr="00297F32" w:rsidRDefault="008C61B9" w:rsidP="009D34F7">
            <w:pPr>
              <w:ind w:right="28"/>
              <w:rPr>
                <w:rFonts w:ascii="Cambria" w:eastAsia="Garamond" w:hAnsi="Cambria" w:cs="Times New Roman"/>
                <w:b/>
                <w:sz w:val="24"/>
              </w:rPr>
            </w:pPr>
          </w:p>
        </w:tc>
      </w:tr>
      <w:tr w:rsidR="00F14761" w:rsidRPr="00297F32" w:rsidTr="001E7735">
        <w:trPr>
          <w:trHeight w:val="113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1" w:rsidRPr="00297F32" w:rsidRDefault="00F14761" w:rsidP="009D34F7">
            <w:pPr>
              <w:spacing w:after="15"/>
              <w:rPr>
                <w:rFonts w:ascii="Cambria" w:eastAsia="Garamond" w:hAnsi="Cambria" w:cs="Times New Roman"/>
                <w:sz w:val="24"/>
              </w:rPr>
            </w:pPr>
            <w:r w:rsidRPr="00297F32">
              <w:rPr>
                <w:rFonts w:ascii="Cambria" w:eastAsia="Garamond" w:hAnsi="Cambria" w:cs="Times New Roman"/>
                <w:b/>
                <w:sz w:val="24"/>
              </w:rPr>
              <w:t>Policy Development</w:t>
            </w:r>
          </w:p>
        </w:tc>
      </w:tr>
      <w:tr w:rsidR="008C61B9" w:rsidRPr="00297F32" w:rsidTr="009D34F7">
        <w:trPr>
          <w:trHeight w:val="859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B9" w:rsidRPr="00297F32" w:rsidRDefault="008C61B9" w:rsidP="008C61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iCs/>
                <w:sz w:val="24"/>
              </w:rPr>
              <w:t xml:space="preserve">Update the Vice President / President on policies and other decisions effecting university financial impact </w:t>
            </w:r>
          </w:p>
          <w:p w:rsidR="008C61B9" w:rsidRPr="00297F32" w:rsidRDefault="008C61B9" w:rsidP="008C61B9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libri" w:hAnsi="Cambria" w:cs="Times New Roman"/>
                <w:sz w:val="24"/>
              </w:rPr>
            </w:pPr>
            <w:r w:rsidRPr="00297F32">
              <w:rPr>
                <w:rFonts w:ascii="Cambria" w:eastAsia="Times New Roman" w:hAnsi="Cambria" w:cs="Times New Roman"/>
                <w:sz w:val="24"/>
              </w:rPr>
              <w:t xml:space="preserve">Monitor, recommend, review and implement internal financial systems, University policies and SOPs </w:t>
            </w:r>
          </w:p>
        </w:tc>
      </w:tr>
      <w:tr w:rsidR="00F14761" w:rsidRPr="00297F32" w:rsidTr="00AD5894">
        <w:trPr>
          <w:trHeight w:val="227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61" w:rsidRPr="00297F32" w:rsidRDefault="00F14761" w:rsidP="009D34F7">
            <w:pPr>
              <w:spacing w:after="15"/>
              <w:rPr>
                <w:rFonts w:ascii="Cambria" w:eastAsia="Garamond" w:hAnsi="Cambria" w:cs="Times New Roman"/>
                <w:sz w:val="24"/>
              </w:rPr>
            </w:pPr>
            <w:r w:rsidRPr="00297F32">
              <w:rPr>
                <w:rFonts w:ascii="Cambria" w:eastAsia="Garamond" w:hAnsi="Cambria" w:cs="Times New Roman"/>
                <w:b/>
                <w:sz w:val="24"/>
              </w:rPr>
              <w:t>Investments, Funds, Property and Project Management</w:t>
            </w:r>
          </w:p>
        </w:tc>
      </w:tr>
      <w:tr w:rsidR="008C61B9" w:rsidRPr="00297F32" w:rsidTr="009D34F7">
        <w:trPr>
          <w:trHeight w:val="401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B9" w:rsidRPr="00297F32" w:rsidRDefault="008C61B9" w:rsidP="008C61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bCs/>
                <w:iCs/>
                <w:sz w:val="24"/>
              </w:rPr>
            </w:pPr>
            <w:r w:rsidRPr="00297F32">
              <w:rPr>
                <w:rFonts w:ascii="Cambria" w:hAnsi="Cambria"/>
                <w:bCs/>
                <w:iCs/>
                <w:sz w:val="24"/>
              </w:rPr>
              <w:t>Manage the property, finances and the investments of the University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bCs/>
                <w:iCs/>
                <w:sz w:val="24"/>
              </w:rPr>
            </w:pPr>
            <w:r w:rsidRPr="00297F32">
              <w:rPr>
                <w:rFonts w:ascii="Cambria" w:hAnsi="Cambria"/>
                <w:bCs/>
                <w:iCs/>
                <w:sz w:val="24"/>
              </w:rPr>
              <w:t>Ensure that University funds are expended dedicatedly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2"/>
              </w:numPr>
              <w:ind w:right="53"/>
              <w:jc w:val="both"/>
              <w:rPr>
                <w:rFonts w:ascii="Cambria" w:hAnsi="Cambria"/>
                <w:bCs/>
                <w:iCs/>
                <w:sz w:val="24"/>
              </w:rPr>
            </w:pPr>
            <w:r w:rsidRPr="00297F32">
              <w:rPr>
                <w:rFonts w:ascii="Cambria" w:hAnsi="Cambria"/>
                <w:bCs/>
                <w:iCs/>
                <w:sz w:val="24"/>
              </w:rPr>
              <w:t>Accounting assistance in Research Funding Projects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bCs/>
                <w:iCs/>
                <w:sz w:val="24"/>
              </w:rPr>
            </w:pPr>
            <w:r w:rsidRPr="00297F32">
              <w:rPr>
                <w:rFonts w:ascii="Cambria" w:hAnsi="Cambria"/>
                <w:bCs/>
                <w:iCs/>
                <w:sz w:val="24"/>
              </w:rPr>
              <w:t>Plan and develop ongoing and future projects of the University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bCs/>
                <w:iCs/>
                <w:sz w:val="24"/>
              </w:rPr>
            </w:pPr>
            <w:r w:rsidRPr="00297F32">
              <w:rPr>
                <w:rFonts w:ascii="Cambria" w:hAnsi="Cambria"/>
                <w:bCs/>
                <w:iCs/>
                <w:sz w:val="24"/>
              </w:rPr>
              <w:t>Responsible to arrange, transfer of funds from CECOS Educational Institutions (</w:t>
            </w:r>
            <w:proofErr w:type="spellStart"/>
            <w:r w:rsidRPr="00297F32">
              <w:rPr>
                <w:rFonts w:ascii="Cambria" w:hAnsi="Cambria"/>
                <w:bCs/>
                <w:iCs/>
                <w:sz w:val="24"/>
              </w:rPr>
              <w:t>Pvt</w:t>
            </w:r>
            <w:proofErr w:type="spellEnd"/>
            <w:r w:rsidRPr="00297F32">
              <w:rPr>
                <w:rFonts w:ascii="Cambria" w:hAnsi="Cambria"/>
                <w:bCs/>
                <w:iCs/>
                <w:sz w:val="24"/>
              </w:rPr>
              <w:t>) Ltd to the University, should the latter face financial difficulties. Similarly, with the approval of President, he may transfer surplus funds from the University to the CECOS Educational Institutions  (</w:t>
            </w:r>
            <w:proofErr w:type="spellStart"/>
            <w:r w:rsidRPr="00297F32">
              <w:rPr>
                <w:rFonts w:ascii="Cambria" w:hAnsi="Cambria"/>
                <w:bCs/>
                <w:iCs/>
                <w:sz w:val="24"/>
              </w:rPr>
              <w:t>Pvt</w:t>
            </w:r>
            <w:proofErr w:type="spellEnd"/>
            <w:r w:rsidRPr="00297F32">
              <w:rPr>
                <w:rFonts w:ascii="Cambria" w:hAnsi="Cambria"/>
                <w:bCs/>
                <w:iCs/>
                <w:sz w:val="24"/>
              </w:rPr>
              <w:t>) Ltd for achieving its objectives.</w:t>
            </w:r>
          </w:p>
        </w:tc>
      </w:tr>
      <w:tr w:rsidR="00F14761" w:rsidRPr="00297F32" w:rsidTr="00C879EF">
        <w:trPr>
          <w:trHeight w:val="20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1" w:rsidRPr="00297F32" w:rsidRDefault="00F14761" w:rsidP="009D34F7">
            <w:pPr>
              <w:spacing w:after="15"/>
              <w:rPr>
                <w:rFonts w:ascii="Cambria" w:eastAsia="Garamond" w:hAnsi="Cambria" w:cs="Times New Roman"/>
                <w:sz w:val="24"/>
              </w:rPr>
            </w:pPr>
            <w:r w:rsidRPr="00297F32">
              <w:rPr>
                <w:rFonts w:ascii="Cambria" w:eastAsia="Garamond" w:hAnsi="Cambria" w:cs="Times New Roman"/>
                <w:b/>
                <w:sz w:val="24"/>
              </w:rPr>
              <w:t>Financial Management</w:t>
            </w:r>
          </w:p>
        </w:tc>
      </w:tr>
      <w:tr w:rsidR="008C61B9" w:rsidRPr="00297F32" w:rsidTr="009D34F7">
        <w:trPr>
          <w:trHeight w:val="871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B9" w:rsidRPr="00297F32" w:rsidRDefault="008C61B9" w:rsidP="008C61B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iCs/>
                <w:sz w:val="24"/>
              </w:rPr>
              <w:lastRenderedPageBreak/>
              <w:t>Financial planning and control and ensure smooth cash flow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iCs/>
                <w:sz w:val="24"/>
              </w:rPr>
              <w:t>Prepare and finalize monthly and annual Financial Statements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iCs/>
                <w:sz w:val="24"/>
              </w:rPr>
              <w:t>Giving guidelines and training to all employees of Finance department.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iCs/>
                <w:sz w:val="24"/>
              </w:rPr>
              <w:t>Receiving and analyzing the daily quarterly, monthly and annual reports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iCs/>
                <w:sz w:val="24"/>
              </w:rPr>
              <w:t>Monitor outstanding dues of students, other loans / advances to employees &amp; creditors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iCs/>
                <w:sz w:val="24"/>
              </w:rPr>
              <w:t>Liaison with banks &amp; other related departments.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iCs/>
                <w:sz w:val="24"/>
              </w:rPr>
              <w:t>Prepare cash receipt &amp; payments record in Excel for month end reconciliation with Cash Accountant.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bCs/>
                <w:iCs/>
                <w:sz w:val="24"/>
              </w:rPr>
              <w:t xml:space="preserve">Monitor </w:t>
            </w:r>
            <w:proofErr w:type="spellStart"/>
            <w:r w:rsidRPr="00297F32">
              <w:rPr>
                <w:rFonts w:ascii="Cambria" w:hAnsi="Cambria"/>
                <w:bCs/>
                <w:iCs/>
                <w:sz w:val="24"/>
              </w:rPr>
              <w:t>Cheque</w:t>
            </w:r>
            <w:proofErr w:type="spellEnd"/>
            <w:r w:rsidRPr="00297F32">
              <w:rPr>
                <w:rFonts w:ascii="Cambria" w:hAnsi="Cambria"/>
                <w:bCs/>
                <w:iCs/>
                <w:sz w:val="24"/>
              </w:rPr>
              <w:t xml:space="preserve"> Register preparation in Excel for month end reconciliation by Accounts Officer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bCs/>
                <w:iCs/>
                <w:sz w:val="24"/>
              </w:rPr>
              <w:t>Preparation of all Securities record in Excel for accurate payments.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bCs/>
                <w:iCs/>
                <w:sz w:val="24"/>
              </w:rPr>
              <w:t>Ensure accurate processing of Worker’s Welfare Board’s Students Claims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bCs/>
                <w:iCs/>
                <w:sz w:val="24"/>
              </w:rPr>
              <w:t>Preparing variety of reports as per regulatory bodies’ compliance.</w:t>
            </w:r>
          </w:p>
        </w:tc>
      </w:tr>
      <w:tr w:rsidR="00F14761" w:rsidRPr="00297F32" w:rsidTr="00000B62">
        <w:trPr>
          <w:trHeight w:val="20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1" w:rsidRPr="00297F32" w:rsidRDefault="00F14761" w:rsidP="009D34F7">
            <w:pPr>
              <w:spacing w:after="79" w:line="239" w:lineRule="auto"/>
              <w:ind w:right="3" w:hanging="10"/>
              <w:rPr>
                <w:rFonts w:ascii="Cambria" w:eastAsia="Garamond" w:hAnsi="Cambria" w:cs="Times New Roman"/>
                <w:sz w:val="24"/>
              </w:rPr>
            </w:pPr>
            <w:r w:rsidRPr="00297F32">
              <w:rPr>
                <w:rFonts w:ascii="Cambria" w:eastAsia="Garamond" w:hAnsi="Cambria" w:cs="Times New Roman"/>
                <w:b/>
                <w:sz w:val="24"/>
              </w:rPr>
              <w:t>Budgeting</w:t>
            </w:r>
          </w:p>
        </w:tc>
      </w:tr>
      <w:tr w:rsidR="008C61B9" w:rsidRPr="00297F32" w:rsidTr="009D34F7">
        <w:trPr>
          <w:trHeight w:val="737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B9" w:rsidRPr="00297F32" w:rsidRDefault="008C61B9" w:rsidP="008C61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Cs/>
                <w:iCs/>
                <w:sz w:val="24"/>
              </w:rPr>
            </w:pPr>
            <w:r w:rsidRPr="00297F32">
              <w:rPr>
                <w:rFonts w:ascii="Cambria" w:hAnsi="Cambria"/>
                <w:bCs/>
                <w:iCs/>
                <w:sz w:val="24"/>
              </w:rPr>
              <w:t>Prepare the annual and revised budget estimates of the University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eastAsia="Garamond" w:hAnsi="Cambria" w:cs="Times New Roman"/>
                <w:sz w:val="24"/>
              </w:rPr>
            </w:pPr>
            <w:r w:rsidRPr="00297F32">
              <w:rPr>
                <w:rFonts w:ascii="Cambria" w:hAnsi="Cambria"/>
                <w:bCs/>
                <w:iCs/>
                <w:sz w:val="24"/>
              </w:rPr>
              <w:t>Present budget to the Board of Directors, through the Finance and Planning Committee and the Board of Governors</w:t>
            </w:r>
          </w:p>
        </w:tc>
      </w:tr>
      <w:tr w:rsidR="00F14761" w:rsidRPr="00297F32" w:rsidTr="003364C1">
        <w:trPr>
          <w:trHeight w:val="57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1" w:rsidRPr="00297F32" w:rsidRDefault="00F14761" w:rsidP="009D34F7">
            <w:pPr>
              <w:ind w:left="10" w:hanging="10"/>
              <w:rPr>
                <w:rFonts w:ascii="Cambria" w:eastAsia="Garamond" w:hAnsi="Cambria" w:cs="Times New Roman"/>
                <w:sz w:val="24"/>
              </w:rPr>
            </w:pPr>
            <w:r w:rsidRPr="00297F32">
              <w:rPr>
                <w:rFonts w:ascii="Cambria" w:eastAsia="Garamond" w:hAnsi="Cambria" w:cs="Times New Roman"/>
                <w:b/>
                <w:sz w:val="24"/>
              </w:rPr>
              <w:t>Taxation &amp; Auditing</w:t>
            </w:r>
          </w:p>
        </w:tc>
      </w:tr>
      <w:tr w:rsidR="008C61B9" w:rsidRPr="00297F32" w:rsidTr="009D34F7">
        <w:trPr>
          <w:trHeight w:val="510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B9" w:rsidRPr="00297F32" w:rsidRDefault="008C61B9" w:rsidP="008C61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iCs/>
                <w:sz w:val="24"/>
              </w:rPr>
              <w:t>Liaise with Chartered Accountant for Audit and Tax matters.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eastAsia="Garamond" w:hAnsi="Cambria" w:cs="Times New Roman"/>
                <w:sz w:val="24"/>
              </w:rPr>
            </w:pPr>
            <w:r w:rsidRPr="00297F32">
              <w:rPr>
                <w:rFonts w:ascii="Cambria" w:hAnsi="Cambria"/>
                <w:iCs/>
                <w:sz w:val="24"/>
              </w:rPr>
              <w:t>Conducting internal audit.</w:t>
            </w:r>
          </w:p>
        </w:tc>
      </w:tr>
      <w:tr w:rsidR="00F14761" w:rsidRPr="00297F32" w:rsidTr="004F318B">
        <w:trPr>
          <w:trHeight w:val="57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1" w:rsidRPr="00297F32" w:rsidRDefault="00F14761" w:rsidP="009D34F7">
            <w:pPr>
              <w:ind w:left="360"/>
              <w:rPr>
                <w:rFonts w:ascii="Cambria" w:eastAsia="Garamond" w:hAnsi="Cambria" w:cs="Times New Roman"/>
                <w:sz w:val="24"/>
              </w:rPr>
            </w:pPr>
            <w:r w:rsidRPr="00297F32">
              <w:rPr>
                <w:rFonts w:ascii="Cambria" w:eastAsia="Garamond" w:hAnsi="Cambria" w:cs="Times New Roman"/>
                <w:b/>
                <w:sz w:val="24"/>
              </w:rPr>
              <w:t>Miscellaneous</w:t>
            </w:r>
          </w:p>
        </w:tc>
      </w:tr>
      <w:tr w:rsidR="008C61B9" w:rsidRPr="00297F32" w:rsidTr="009D34F7">
        <w:trPr>
          <w:trHeight w:val="57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B9" w:rsidRPr="00297F32" w:rsidRDefault="008C61B9" w:rsidP="008C61B9">
            <w:pPr>
              <w:pStyle w:val="ListParagraph"/>
              <w:numPr>
                <w:ilvl w:val="0"/>
                <w:numId w:val="4"/>
              </w:numPr>
              <w:ind w:right="53"/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hAnsi="Cambria"/>
                <w:iCs/>
                <w:sz w:val="24"/>
              </w:rPr>
              <w:t>Liaison with all HODs to resolve their issues regarding accounts matter if any</w:t>
            </w:r>
          </w:p>
          <w:p w:rsidR="008C61B9" w:rsidRPr="00297F32" w:rsidRDefault="008C61B9" w:rsidP="008C61B9">
            <w:pPr>
              <w:pStyle w:val="ListParagraph"/>
              <w:numPr>
                <w:ilvl w:val="0"/>
                <w:numId w:val="4"/>
              </w:numPr>
              <w:ind w:right="53"/>
              <w:jc w:val="both"/>
              <w:rPr>
                <w:rFonts w:ascii="Cambria" w:hAnsi="Cambria"/>
                <w:iCs/>
                <w:sz w:val="24"/>
              </w:rPr>
            </w:pPr>
            <w:r w:rsidRPr="00297F32">
              <w:rPr>
                <w:rFonts w:ascii="Cambria" w:eastAsia="Garamond" w:hAnsi="Cambria" w:cs="Times New Roman"/>
                <w:sz w:val="24"/>
              </w:rPr>
              <w:t>Any other</w:t>
            </w:r>
          </w:p>
        </w:tc>
      </w:tr>
    </w:tbl>
    <w:p w:rsidR="008C61B9" w:rsidRPr="00297F32" w:rsidRDefault="008C61B9" w:rsidP="008C61B9">
      <w:pPr>
        <w:rPr>
          <w:rFonts w:ascii="Cambria" w:hAnsi="Cambria" w:cs="Times New Roman"/>
          <w:sz w:val="24"/>
        </w:rPr>
      </w:pPr>
    </w:p>
    <w:p w:rsidR="00B05695" w:rsidRDefault="00B05695"/>
    <w:sectPr w:rsidR="00B05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041"/>
    <w:multiLevelType w:val="hybridMultilevel"/>
    <w:tmpl w:val="B492B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14F96"/>
    <w:multiLevelType w:val="hybridMultilevel"/>
    <w:tmpl w:val="EBC0A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45D67"/>
    <w:multiLevelType w:val="hybridMultilevel"/>
    <w:tmpl w:val="66FEB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FE0DBC"/>
    <w:multiLevelType w:val="hybridMultilevel"/>
    <w:tmpl w:val="38B01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94828"/>
    <w:multiLevelType w:val="hybridMultilevel"/>
    <w:tmpl w:val="AF469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3E1224"/>
    <w:multiLevelType w:val="multilevel"/>
    <w:tmpl w:val="214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B9"/>
    <w:rsid w:val="0015335E"/>
    <w:rsid w:val="001D1517"/>
    <w:rsid w:val="008C61B9"/>
    <w:rsid w:val="009E0506"/>
    <w:rsid w:val="00B05695"/>
    <w:rsid w:val="00DA5A33"/>
    <w:rsid w:val="00F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5BEB"/>
  <w15:chartTrackingRefBased/>
  <w15:docId w15:val="{BBC62170-8DE7-4707-BDB7-E0424585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B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1B9"/>
    <w:pPr>
      <w:keepNext/>
      <w:keepLines/>
      <w:spacing w:before="40" w:after="0" w:line="240" w:lineRule="auto"/>
      <w:outlineLvl w:val="1"/>
    </w:pPr>
    <w:rPr>
      <w:rFonts w:ascii="Cambria" w:eastAsiaTheme="majorEastAsia" w:hAnsi="Cambr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1B9"/>
    <w:rPr>
      <w:rFonts w:ascii="Cambria" w:eastAsiaTheme="majorEastAsia" w:hAnsi="Cambria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C61B9"/>
    <w:pPr>
      <w:ind w:left="720"/>
      <w:contextualSpacing/>
    </w:pPr>
  </w:style>
  <w:style w:type="table" w:customStyle="1" w:styleId="TableGrid">
    <w:name w:val="TableGrid"/>
    <w:rsid w:val="008C61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E05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E0506"/>
    <w:rPr>
      <w:b/>
      <w:bCs/>
    </w:rPr>
  </w:style>
  <w:style w:type="character" w:styleId="Emphasis">
    <w:name w:val="Emphasis"/>
    <w:basedOn w:val="DefaultParagraphFont"/>
    <w:uiPriority w:val="20"/>
    <w:qFormat/>
    <w:rsid w:val="009E0506"/>
    <w:rPr>
      <w:i/>
      <w:iCs/>
    </w:rPr>
  </w:style>
  <w:style w:type="paragraph" w:customStyle="1" w:styleId="gmail-">
    <w:name w:val="gmail-"/>
    <w:basedOn w:val="Normal"/>
    <w:rsid w:val="00F1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 HR</dc:creator>
  <cp:keywords/>
  <dc:description/>
  <cp:lastModifiedBy>SAIMA HR</cp:lastModifiedBy>
  <cp:revision>7</cp:revision>
  <dcterms:created xsi:type="dcterms:W3CDTF">2025-04-07T06:12:00Z</dcterms:created>
  <dcterms:modified xsi:type="dcterms:W3CDTF">2025-04-07T06:49:00Z</dcterms:modified>
</cp:coreProperties>
</file>